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0B85" w:rsidRPr="00F22A63" w:rsidRDefault="002E0B85">
      <w:pPr>
        <w:jc w:val="center"/>
        <w:rPr>
          <w:rFonts w:ascii="Verdana" w:hAnsi="Verdana" w:cs="Verdana"/>
          <w:b/>
          <w:sz w:val="6"/>
          <w:szCs w:val="6"/>
        </w:rPr>
      </w:pPr>
      <w:r w:rsidRPr="00F22A63">
        <w:rPr>
          <w:rFonts w:ascii="Verdana" w:hAnsi="Verdana" w:cs="Verdana"/>
          <w:b/>
          <w:sz w:val="20"/>
          <w:szCs w:val="20"/>
        </w:rPr>
        <w:t>Menedzserképző Központ IV. Adatvédelmi Konferencia</w:t>
      </w:r>
    </w:p>
    <w:p w:rsidR="002E0B85" w:rsidRPr="00F22A63" w:rsidRDefault="002E0B85">
      <w:pPr>
        <w:jc w:val="center"/>
        <w:rPr>
          <w:rFonts w:ascii="Verdana" w:hAnsi="Verdana" w:cs="Verdana"/>
          <w:b/>
          <w:sz w:val="6"/>
          <w:szCs w:val="6"/>
        </w:rPr>
      </w:pPr>
    </w:p>
    <w:p w:rsidR="002E0B85" w:rsidRPr="00F22A63" w:rsidRDefault="002E0B85">
      <w:pPr>
        <w:jc w:val="center"/>
        <w:rPr>
          <w:rFonts w:ascii="Verdana" w:hAnsi="Verdana" w:cs="Verdana"/>
          <w:b/>
          <w:sz w:val="6"/>
          <w:szCs w:val="6"/>
        </w:rPr>
      </w:pPr>
    </w:p>
    <w:p w:rsidR="002E0B85" w:rsidRPr="00F22A63" w:rsidRDefault="002E0B85">
      <w:pPr>
        <w:pStyle w:val="Csakszveg1"/>
        <w:jc w:val="center"/>
        <w:rPr>
          <w:rFonts w:ascii="Verdana" w:hAnsi="Verdana" w:cs="Verdana"/>
          <w:b/>
          <w:color w:val="auto"/>
          <w:sz w:val="6"/>
          <w:szCs w:val="6"/>
        </w:rPr>
      </w:pPr>
      <w:r w:rsidRPr="00F22A63">
        <w:rPr>
          <w:rFonts w:ascii="Verdana" w:hAnsi="Verdana" w:cs="Verdana"/>
          <w:b/>
          <w:color w:val="auto"/>
          <w:sz w:val="20"/>
          <w:szCs w:val="20"/>
        </w:rPr>
        <w:t>„ADATVÉDELMI RÉMÁLMOK – FÓKUSZBAN A NAIH ELJÁRÁSAI, BÍRSÁGAI, ÉS A JOGSZERŰ ADATKEZELÉS LEHETŐSÉGEI”</w:t>
      </w:r>
    </w:p>
    <w:p w:rsidR="002E0B85" w:rsidRPr="00F22A63" w:rsidRDefault="002E0B85">
      <w:pPr>
        <w:pStyle w:val="Csakszveg1"/>
        <w:jc w:val="center"/>
        <w:rPr>
          <w:rFonts w:ascii="Verdana" w:hAnsi="Verdana" w:cs="Verdana"/>
          <w:b/>
          <w:color w:val="auto"/>
          <w:sz w:val="6"/>
          <w:szCs w:val="6"/>
        </w:rPr>
      </w:pPr>
    </w:p>
    <w:p w:rsidR="002E0B85" w:rsidRPr="00F22A63" w:rsidRDefault="002E0B85">
      <w:pPr>
        <w:pStyle w:val="Csakszveg1"/>
        <w:jc w:val="center"/>
        <w:rPr>
          <w:rFonts w:ascii="Verdana" w:hAnsi="Verdana" w:cs="Verdana"/>
          <w:b/>
          <w:color w:val="auto"/>
          <w:sz w:val="6"/>
          <w:szCs w:val="6"/>
        </w:rPr>
      </w:pPr>
    </w:p>
    <w:p w:rsidR="002E0B85" w:rsidRPr="00F22A63" w:rsidRDefault="002E0B85">
      <w:pPr>
        <w:pStyle w:val="Csakszveg1"/>
        <w:jc w:val="center"/>
        <w:rPr>
          <w:rFonts w:ascii="Verdana" w:hAnsi="Verdana" w:cs="Verdana"/>
          <w:b/>
          <w:sz w:val="20"/>
          <w:szCs w:val="20"/>
        </w:rPr>
      </w:pPr>
      <w:r w:rsidRPr="00F22A63">
        <w:rPr>
          <w:rFonts w:ascii="Verdana" w:hAnsi="Verdana" w:cs="Verdana"/>
          <w:b/>
          <w:sz w:val="20"/>
          <w:szCs w:val="20"/>
        </w:rPr>
        <w:t>2015. március 19. (csütörtök), Budapest, Danubius Hotel Gellért</w:t>
      </w:r>
    </w:p>
    <w:p w:rsidR="002E0B85" w:rsidRDefault="002E0B85">
      <w:pPr>
        <w:pStyle w:val="Csakszveg1"/>
        <w:jc w:val="center"/>
        <w:rPr>
          <w:rFonts w:ascii="Verdana" w:hAnsi="Verdana" w:cs="Verdana"/>
          <w:sz w:val="20"/>
          <w:szCs w:val="20"/>
        </w:rPr>
      </w:pPr>
    </w:p>
    <w:p w:rsidR="002E0B85" w:rsidRPr="000400D4" w:rsidRDefault="002E0B85">
      <w:pPr>
        <w:pStyle w:val="Csakszveg1"/>
        <w:jc w:val="center"/>
        <w:rPr>
          <w:rFonts w:ascii="Verdana" w:hAnsi="Verdana" w:cs="Verdana"/>
          <w:sz w:val="20"/>
          <w:szCs w:val="20"/>
        </w:rPr>
      </w:pPr>
    </w:p>
    <w:p w:rsidR="002E0B85" w:rsidRPr="000400D4" w:rsidRDefault="002E0B85" w:rsidP="000400D4">
      <w:pPr>
        <w:pStyle w:val="Csakszveg1"/>
        <w:rPr>
          <w:rFonts w:ascii="Verdana" w:hAnsi="Verdana" w:cs="Verdana"/>
          <w:sz w:val="20"/>
          <w:szCs w:val="20"/>
        </w:rPr>
      </w:pPr>
      <w:r w:rsidRPr="000400D4">
        <w:rPr>
          <w:rFonts w:ascii="Verdana" w:hAnsi="Verdana" w:cs="Verdana"/>
          <w:sz w:val="20"/>
          <w:szCs w:val="20"/>
        </w:rPr>
        <w:t>Egy évvel ezelőtt gondolhattuk, hogy adatvédelmi szempontból nincs új a nap alatt, a NAIH 2014-ben mégis hozott számos újdonságot – szektorokon átívelő vizsgálatokat indítottak, a korábbiakhoz képest nagy számban hoztak elmarasztaló határozatokat, a bírságok összege pedig emelkedett. Míg korábban elvétve, kirívó jogsértés esetén</w:t>
      </w:r>
      <w:r>
        <w:rPr>
          <w:rFonts w:ascii="Verdana" w:hAnsi="Verdana" w:cs="Verdana"/>
          <w:sz w:val="20"/>
          <w:szCs w:val="20"/>
        </w:rPr>
        <w:t xml:space="preserve"> került sor hét számjegyű büntetés</w:t>
      </w:r>
      <w:r w:rsidRPr="000400D4">
        <w:rPr>
          <w:rFonts w:ascii="Verdana" w:hAnsi="Verdana" w:cs="Verdana"/>
          <w:sz w:val="20"/>
          <w:szCs w:val="20"/>
        </w:rPr>
        <w:t xml:space="preserve"> kiszabására, </w:t>
      </w:r>
      <w:r>
        <w:rPr>
          <w:rFonts w:ascii="Verdana" w:hAnsi="Verdana" w:cs="Verdana"/>
          <w:sz w:val="20"/>
          <w:szCs w:val="20"/>
        </w:rPr>
        <w:t>a tavalyi évben</w:t>
      </w:r>
      <w:r w:rsidRPr="000400D4">
        <w:rPr>
          <w:rFonts w:ascii="Verdana" w:hAnsi="Verdana" w:cs="Verdana"/>
          <w:sz w:val="20"/>
          <w:szCs w:val="20"/>
        </w:rPr>
        <w:t xml:space="preserve"> számos határozatban szerepelt több milliós bírság. Aztán 2014 végén, karácsony előtt a </w:t>
      </w:r>
      <w:r>
        <w:rPr>
          <w:rFonts w:ascii="Verdana" w:hAnsi="Verdana" w:cs="Verdana"/>
          <w:sz w:val="20"/>
          <w:szCs w:val="20"/>
        </w:rPr>
        <w:t xml:space="preserve">Hatóság </w:t>
      </w:r>
      <w:r w:rsidRPr="000400D4">
        <w:rPr>
          <w:rFonts w:ascii="Verdana" w:hAnsi="Verdana" w:cs="Verdana"/>
          <w:sz w:val="20"/>
          <w:szCs w:val="20"/>
        </w:rPr>
        <w:t xml:space="preserve">kiszabott egy tízmilliós </w:t>
      </w:r>
      <w:r>
        <w:rPr>
          <w:rFonts w:ascii="Verdana" w:hAnsi="Verdana" w:cs="Verdana"/>
          <w:sz w:val="20"/>
          <w:szCs w:val="20"/>
        </w:rPr>
        <w:t>büntetést</w:t>
      </w:r>
      <w:r w:rsidRPr="000400D4">
        <w:rPr>
          <w:rFonts w:ascii="Verdana" w:hAnsi="Verdana" w:cs="Verdana"/>
          <w:sz w:val="20"/>
          <w:szCs w:val="20"/>
        </w:rPr>
        <w:t xml:space="preserve"> is – története során másodszor.</w:t>
      </w:r>
    </w:p>
    <w:p w:rsidR="002E0B85" w:rsidRPr="000400D4" w:rsidRDefault="002E0B85" w:rsidP="000400D4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0400D4" w:rsidRDefault="002E0B85" w:rsidP="000400D4">
      <w:pPr>
        <w:pStyle w:val="Csakszveg1"/>
        <w:rPr>
          <w:rFonts w:ascii="Verdana" w:hAnsi="Verdana" w:cs="Verdana"/>
          <w:sz w:val="20"/>
          <w:szCs w:val="20"/>
        </w:rPr>
      </w:pPr>
      <w:r w:rsidRPr="000400D4">
        <w:rPr>
          <w:rFonts w:ascii="Verdana" w:hAnsi="Verdana" w:cs="Verdana"/>
          <w:sz w:val="20"/>
          <w:szCs w:val="20"/>
        </w:rPr>
        <w:t>Miért fontos ez? Korábban öt millió forint fölé csak akkor ment a bírság, ha a jogsértés kirívó volt. Ezúttal viszont egy a piacon ismert és elismert cég kapta a legmagas</w:t>
      </w:r>
      <w:r>
        <w:rPr>
          <w:rFonts w:ascii="Verdana" w:hAnsi="Verdana" w:cs="Verdana"/>
          <w:sz w:val="20"/>
          <w:szCs w:val="20"/>
        </w:rPr>
        <w:t>abb összegű büntetést, olyan vállalat</w:t>
      </w:r>
      <w:r w:rsidRPr="000400D4">
        <w:rPr>
          <w:rFonts w:ascii="Verdana" w:hAnsi="Verdana" w:cs="Verdana"/>
          <w:sz w:val="20"/>
          <w:szCs w:val="20"/>
        </w:rPr>
        <w:t>, amelynek működése egy elem kivételével rendben volt, amely együt</w:t>
      </w:r>
      <w:r>
        <w:rPr>
          <w:rFonts w:ascii="Verdana" w:hAnsi="Verdana" w:cs="Verdana"/>
          <w:sz w:val="20"/>
          <w:szCs w:val="20"/>
        </w:rPr>
        <w:t>tműködött a Hatósággal, és ami</w:t>
      </w:r>
      <w:r w:rsidRPr="000400D4">
        <w:rPr>
          <w:rFonts w:ascii="Verdana" w:hAnsi="Verdana" w:cs="Verdana"/>
          <w:sz w:val="20"/>
          <w:szCs w:val="20"/>
        </w:rPr>
        <w:t xml:space="preserve"> már a vizsgálat során megszüntette a jogsértést. Mi ebből a tanulság? Nos, annyi mindenképpen, hogy senki sincs biztonságban: hiába gondoljuk, hogy az adatkezelésünk rendben van, a NAIH könnyen talál jo</w:t>
      </w:r>
      <w:r>
        <w:rPr>
          <w:rFonts w:ascii="Verdana" w:hAnsi="Verdana" w:cs="Verdana"/>
          <w:sz w:val="20"/>
          <w:szCs w:val="20"/>
        </w:rPr>
        <w:t>gellenes elemeket, és ez könnyedén eredményezhet milliós büntetést</w:t>
      </w:r>
      <w:r w:rsidRPr="000400D4">
        <w:rPr>
          <w:rFonts w:ascii="Verdana" w:hAnsi="Verdana" w:cs="Verdana"/>
          <w:sz w:val="20"/>
          <w:szCs w:val="20"/>
        </w:rPr>
        <w:t>, és az adatkezelés megszüntetését.</w:t>
      </w:r>
    </w:p>
    <w:p w:rsidR="002E0B85" w:rsidRPr="000400D4" w:rsidRDefault="002E0B85" w:rsidP="000400D4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0400D4" w:rsidRDefault="002E0B85" w:rsidP="000400D4">
      <w:pPr>
        <w:pStyle w:val="Csakszveg1"/>
        <w:rPr>
          <w:rFonts w:ascii="Verdana" w:hAnsi="Verdana" w:cs="Verdana"/>
          <w:sz w:val="20"/>
          <w:szCs w:val="20"/>
        </w:rPr>
      </w:pPr>
      <w:r w:rsidRPr="000400D4">
        <w:rPr>
          <w:rFonts w:ascii="Verdana" w:hAnsi="Verdana" w:cs="Verdana"/>
          <w:sz w:val="20"/>
          <w:szCs w:val="20"/>
        </w:rPr>
        <w:t xml:space="preserve">A NAIH új jogalkalmazó szerv, a joggyakorlata még mindig formálódik. Éppen ezért fontos minden adatkezelő számára az, hogy megértsük a működését, a szempontjait, és felkészüljünk egy esetleges vizsgálatra. Ennek egyik eszköze, ha megismerjük a vizsgálati módszereit, szempontjait, és azokat az eszközöket, amelyekkel egy </w:t>
      </w:r>
      <w:r>
        <w:rPr>
          <w:rFonts w:ascii="Verdana" w:hAnsi="Verdana" w:cs="Verdana"/>
          <w:sz w:val="20"/>
          <w:szCs w:val="20"/>
        </w:rPr>
        <w:t>ellenőrzés</w:t>
      </w:r>
      <w:r w:rsidRPr="000400D4">
        <w:rPr>
          <w:rFonts w:ascii="Verdana" w:hAnsi="Verdana" w:cs="Verdana"/>
          <w:sz w:val="20"/>
          <w:szCs w:val="20"/>
        </w:rPr>
        <w:t xml:space="preserve"> során védekezni tudunk.</w:t>
      </w:r>
    </w:p>
    <w:p w:rsidR="002E0B85" w:rsidRPr="000400D4" w:rsidRDefault="002E0B85" w:rsidP="000400D4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0400D4" w:rsidRDefault="002E0B85" w:rsidP="000400D4">
      <w:pPr>
        <w:pStyle w:val="Csakszveg1"/>
        <w:rPr>
          <w:rFonts w:ascii="Verdana" w:hAnsi="Verdana" w:cs="Verdana"/>
          <w:sz w:val="20"/>
          <w:szCs w:val="20"/>
        </w:rPr>
      </w:pPr>
      <w:r w:rsidRPr="000400D4">
        <w:rPr>
          <w:rFonts w:ascii="Verdana" w:hAnsi="Verdana" w:cs="Verdana"/>
          <w:sz w:val="20"/>
          <w:szCs w:val="20"/>
        </w:rPr>
        <w:t>A konferencia el</w:t>
      </w:r>
      <w:r>
        <w:rPr>
          <w:rFonts w:ascii="Verdana" w:hAnsi="Verdana" w:cs="Verdana"/>
          <w:sz w:val="20"/>
          <w:szCs w:val="20"/>
        </w:rPr>
        <w:t>ső része teljes egészében a Hatóság</w:t>
      </w:r>
      <w:r w:rsidRPr="000400D4">
        <w:rPr>
          <w:rFonts w:ascii="Verdana" w:hAnsi="Verdana" w:cs="Verdana"/>
          <w:sz w:val="20"/>
          <w:szCs w:val="20"/>
        </w:rPr>
        <w:t xml:space="preserve"> eljárására, eszközeire, szankcióira összpontosít. A NAIH elnökhelyettese és főosztályvezetője mutatják be a hatósági szempontokat, amelyekre két, az adat</w:t>
      </w:r>
      <w:r>
        <w:rPr>
          <w:rFonts w:ascii="Verdana" w:hAnsi="Verdana" w:cs="Verdana"/>
          <w:sz w:val="20"/>
          <w:szCs w:val="20"/>
        </w:rPr>
        <w:t xml:space="preserve">védelmi jogban szakértő ügyvéd - </w:t>
      </w:r>
      <w:r w:rsidRPr="000400D4">
        <w:rPr>
          <w:rFonts w:ascii="Verdana" w:hAnsi="Verdana" w:cs="Verdana"/>
          <w:sz w:val="20"/>
          <w:szCs w:val="20"/>
        </w:rPr>
        <w:t>min</w:t>
      </w:r>
      <w:r>
        <w:rPr>
          <w:rFonts w:ascii="Verdana" w:hAnsi="Verdana" w:cs="Verdana"/>
          <w:sz w:val="20"/>
          <w:szCs w:val="20"/>
        </w:rPr>
        <w:t xml:space="preserve">dketten vettek már részt a Hatóság </w:t>
      </w:r>
      <w:r w:rsidRPr="000400D4">
        <w:rPr>
          <w:rFonts w:ascii="Verdana" w:hAnsi="Verdana" w:cs="Verdana"/>
          <w:sz w:val="20"/>
          <w:szCs w:val="20"/>
        </w:rPr>
        <w:t>eljárásában,</w:t>
      </w:r>
      <w:r>
        <w:rPr>
          <w:rFonts w:ascii="Verdana" w:hAnsi="Verdana" w:cs="Verdana"/>
          <w:sz w:val="20"/>
          <w:szCs w:val="20"/>
        </w:rPr>
        <w:t xml:space="preserve"> vizsgált szerv képviselőjeként - </w:t>
      </w:r>
      <w:r w:rsidRPr="000400D4">
        <w:rPr>
          <w:rFonts w:ascii="Verdana" w:hAnsi="Verdana" w:cs="Verdana"/>
          <w:sz w:val="20"/>
          <w:szCs w:val="20"/>
        </w:rPr>
        <w:t>válaszol.</w:t>
      </w:r>
    </w:p>
    <w:p w:rsidR="002E0B85" w:rsidRPr="000400D4" w:rsidRDefault="002E0B85" w:rsidP="000400D4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0400D4" w:rsidRDefault="002E0B85" w:rsidP="000400D4">
      <w:pPr>
        <w:pStyle w:val="Csakszveg1"/>
        <w:rPr>
          <w:rFonts w:ascii="Verdana" w:hAnsi="Verdana" w:cs="Verdana"/>
          <w:sz w:val="20"/>
          <w:szCs w:val="20"/>
        </w:rPr>
      </w:pPr>
      <w:r w:rsidRPr="000400D4"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z w:val="20"/>
          <w:szCs w:val="20"/>
        </w:rPr>
        <w:t xml:space="preserve">rendezvény </w:t>
      </w:r>
      <w:r w:rsidRPr="000400D4">
        <w:rPr>
          <w:rFonts w:ascii="Verdana" w:hAnsi="Verdana" w:cs="Verdana"/>
          <w:sz w:val="20"/>
          <w:szCs w:val="20"/>
        </w:rPr>
        <w:t>másik részében olyan szektorok képvi</w:t>
      </w:r>
      <w:r>
        <w:rPr>
          <w:rFonts w:ascii="Verdana" w:hAnsi="Verdana" w:cs="Verdana"/>
          <w:sz w:val="20"/>
          <w:szCs w:val="20"/>
        </w:rPr>
        <w:t xml:space="preserve">selői szólalnak meg, amelyek a Hatóság </w:t>
      </w:r>
      <w:r w:rsidRPr="000400D4">
        <w:rPr>
          <w:rFonts w:ascii="Verdana" w:hAnsi="Verdana" w:cs="Verdana"/>
          <w:sz w:val="20"/>
          <w:szCs w:val="20"/>
        </w:rPr>
        <w:t>„c</w:t>
      </w:r>
      <w:r>
        <w:rPr>
          <w:rFonts w:ascii="Verdana" w:hAnsi="Verdana" w:cs="Verdana"/>
          <w:sz w:val="20"/>
          <w:szCs w:val="20"/>
        </w:rPr>
        <w:t>élkeresztjében” állnak, aminek</w:t>
      </w:r>
      <w:r w:rsidRPr="000400D4">
        <w:rPr>
          <w:rFonts w:ascii="Verdana" w:hAnsi="Verdana" w:cs="Verdana"/>
          <w:sz w:val="20"/>
          <w:szCs w:val="20"/>
        </w:rPr>
        <w:t xml:space="preserve"> szereplői elszenvedtek számos komoly bírságot. Választ kapunk arra, hogy mennyiben alkalmazható piaci körülmények között az Infotv., és arra is, hogy vajon működhetnek-e cégek olyan keretek között, melyet a NAIH is jogszerűnek ítél. Végezetül ne feledkezzünk meg az érintettről, hiszen a </w:t>
      </w:r>
      <w:r>
        <w:rPr>
          <w:rFonts w:ascii="Verdana" w:hAnsi="Verdana" w:cs="Verdana"/>
          <w:sz w:val="20"/>
          <w:szCs w:val="20"/>
        </w:rPr>
        <w:t xml:space="preserve">Hatóság </w:t>
      </w:r>
      <w:r w:rsidRPr="000400D4">
        <w:rPr>
          <w:rFonts w:ascii="Verdana" w:hAnsi="Verdana" w:cs="Verdana"/>
          <w:sz w:val="20"/>
          <w:szCs w:val="20"/>
        </w:rPr>
        <w:t>eljárásainak kiváltó oka a legtöbb esetben egy éri</w:t>
      </w:r>
      <w:r>
        <w:rPr>
          <w:rFonts w:ascii="Verdana" w:hAnsi="Verdana" w:cs="Verdana"/>
          <w:sz w:val="20"/>
          <w:szCs w:val="20"/>
        </w:rPr>
        <w:t>ntettől származó panasz. Ha meg</w:t>
      </w:r>
      <w:r w:rsidRPr="000400D4">
        <w:rPr>
          <w:rFonts w:ascii="Verdana" w:hAnsi="Verdana" w:cs="Verdana"/>
          <w:sz w:val="20"/>
          <w:szCs w:val="20"/>
        </w:rPr>
        <w:t>tanuljuk házon belül kezelni ezeket a panaszokat, azzal akár megelőzhetjük a NAIH eljárását is.</w:t>
      </w:r>
    </w:p>
    <w:p w:rsidR="002E0B85" w:rsidRPr="000400D4" w:rsidRDefault="002E0B85" w:rsidP="000400D4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0400D4" w:rsidRDefault="002E0B85" w:rsidP="000400D4">
      <w:pPr>
        <w:pStyle w:val="Csakszveg1"/>
        <w:rPr>
          <w:rFonts w:ascii="Verdana" w:hAnsi="Verdana" w:cs="Verdana"/>
          <w:sz w:val="20"/>
          <w:szCs w:val="20"/>
        </w:rPr>
      </w:pPr>
      <w:r w:rsidRPr="000400D4">
        <w:rPr>
          <w:rFonts w:ascii="Verdana" w:hAnsi="Verdana" w:cs="Verdana"/>
          <w:sz w:val="20"/>
          <w:szCs w:val="20"/>
        </w:rPr>
        <w:t>A konferencia mindenkihez szól, aki adatokat kezel. Teljesen mindegy, hogy ezek az adatok ügyfelekhez, adósokhoz, ellenérdekű felekhez kapcsolódnak: ha valaki adatot kezel, akkor tartania kell attól, hogy a jogellenes adatkezelést számon kérik rajta. Abban pedig senki sem lehet biztos, hogy adatkezelése jogszerű – sőt, biztosak lehetünk abban, hogy minden adatkezelésben vannak buktatók. Találjuk meg ezeket, és tanuljuk meg megszüntetni őket – vagy éppen</w:t>
      </w:r>
      <w:r>
        <w:rPr>
          <w:rFonts w:ascii="Verdana" w:hAnsi="Verdana" w:cs="Verdana"/>
          <w:sz w:val="20"/>
          <w:szCs w:val="20"/>
        </w:rPr>
        <w:t xml:space="preserve"> sajátítsuk el</w:t>
      </w:r>
      <w:r w:rsidRPr="000400D4">
        <w:rPr>
          <w:rFonts w:ascii="Verdana" w:hAnsi="Verdana" w:cs="Verdana"/>
          <w:sz w:val="20"/>
          <w:szCs w:val="20"/>
        </w:rPr>
        <w:t>, hogyan lehet együtt élni velük.</w:t>
      </w:r>
    </w:p>
    <w:p w:rsidR="002E0B85" w:rsidRDefault="002E0B85">
      <w:pPr>
        <w:pStyle w:val="Csakszveg1"/>
        <w:jc w:val="center"/>
        <w:rPr>
          <w:rFonts w:ascii="Verdana" w:hAnsi="Verdana" w:cs="Verdana"/>
          <w:b/>
          <w:sz w:val="20"/>
          <w:szCs w:val="20"/>
        </w:rPr>
      </w:pPr>
    </w:p>
    <w:p w:rsidR="002E0B85" w:rsidRDefault="002E0B85">
      <w:pPr>
        <w:pStyle w:val="Csakszveg1"/>
        <w:jc w:val="center"/>
        <w:rPr>
          <w:rFonts w:ascii="Verdana" w:hAnsi="Verdana" w:cs="Verdana"/>
          <w:b/>
          <w:sz w:val="20"/>
          <w:szCs w:val="20"/>
        </w:rPr>
      </w:pPr>
    </w:p>
    <w:p w:rsidR="002E0B85" w:rsidRDefault="002E0B85">
      <w:pPr>
        <w:pStyle w:val="Csakszveg1"/>
        <w:jc w:val="center"/>
        <w:rPr>
          <w:rFonts w:ascii="Verdana" w:hAnsi="Verdana" w:cs="Verdana"/>
          <w:b/>
          <w:sz w:val="20"/>
          <w:szCs w:val="20"/>
        </w:rPr>
      </w:pPr>
    </w:p>
    <w:p w:rsidR="002E0B85" w:rsidRPr="00F22A63" w:rsidRDefault="002E0B85">
      <w:pPr>
        <w:pStyle w:val="Csakszveg1"/>
        <w:jc w:val="center"/>
        <w:rPr>
          <w:rFonts w:ascii="Verdana" w:hAnsi="Verdana" w:cs="Verdana"/>
          <w:b/>
          <w:sz w:val="20"/>
          <w:szCs w:val="20"/>
        </w:rPr>
      </w:pPr>
      <w:r w:rsidRPr="00F22A63">
        <w:rPr>
          <w:rFonts w:ascii="Verdana" w:hAnsi="Verdana" w:cs="Verdana"/>
          <w:b/>
          <w:sz w:val="20"/>
          <w:szCs w:val="20"/>
        </w:rPr>
        <w:t>Program</w:t>
      </w:r>
    </w:p>
    <w:p w:rsidR="002E0B85" w:rsidRPr="00F22A63" w:rsidRDefault="002E0B85" w:rsidP="00700AB5">
      <w:pPr>
        <w:pStyle w:val="Csakszveg1"/>
        <w:rPr>
          <w:rFonts w:ascii="Verdana" w:hAnsi="Verdana" w:cs="Verdana"/>
          <w:b/>
          <w:sz w:val="20"/>
          <w:szCs w:val="20"/>
        </w:rPr>
      </w:pP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F22A63" w:rsidRDefault="002E0B85" w:rsidP="005D3BD1">
      <w:pPr>
        <w:pStyle w:val="Csakszveg1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12.40 – 13.1</w:t>
      </w:r>
      <w:r w:rsidRPr="00F22A63">
        <w:rPr>
          <w:rFonts w:ascii="Verdana" w:hAnsi="Verdana" w:cs="Verdana"/>
          <w:i/>
          <w:sz w:val="20"/>
          <w:szCs w:val="20"/>
        </w:rPr>
        <w:t>0</w:t>
      </w:r>
      <w:r w:rsidRPr="00F22A63">
        <w:rPr>
          <w:rFonts w:ascii="Verdana" w:hAnsi="Verdana" w:cs="Verdana"/>
          <w:i/>
          <w:sz w:val="20"/>
          <w:szCs w:val="20"/>
        </w:rPr>
        <w:tab/>
        <w:t>Regisztráció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F22A63" w:rsidRDefault="002E0B85" w:rsidP="005D3BD1">
      <w:pPr>
        <w:pStyle w:val="Csakszveg1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13.10 – 13.2</w:t>
      </w:r>
      <w:r w:rsidRPr="00F22A63">
        <w:rPr>
          <w:rFonts w:ascii="Verdana" w:hAnsi="Verdana" w:cs="Verdana"/>
          <w:sz w:val="20"/>
          <w:szCs w:val="20"/>
        </w:rPr>
        <w:t>0</w:t>
      </w:r>
      <w:r w:rsidRPr="00F22A63">
        <w:rPr>
          <w:rFonts w:ascii="Verdana" w:hAnsi="Verdana" w:cs="Verdana"/>
          <w:sz w:val="20"/>
          <w:szCs w:val="20"/>
        </w:rPr>
        <w:tab/>
        <w:t>Moderátori megnyitó</w:t>
      </w:r>
    </w:p>
    <w:p w:rsidR="002E0B85" w:rsidRPr="00F22A63" w:rsidRDefault="002E0B85" w:rsidP="00793BA3">
      <w:pPr>
        <w:pStyle w:val="Csakszveg1"/>
        <w:ind w:left="21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D</w:t>
      </w:r>
      <w:r w:rsidRPr="000E3EDC">
        <w:rPr>
          <w:rFonts w:ascii="Verdana" w:hAnsi="Verdana" w:cs="Verdana"/>
          <w:i/>
          <w:sz w:val="20"/>
          <w:szCs w:val="20"/>
        </w:rPr>
        <w:t>r. Freidler Gábor</w:t>
      </w:r>
      <w:r w:rsidRPr="00F22A63">
        <w:rPr>
          <w:rFonts w:ascii="Verdana" w:hAnsi="Verdana" w:cs="Verdana"/>
          <w:sz w:val="20"/>
          <w:szCs w:val="20"/>
        </w:rPr>
        <w:t xml:space="preserve"> ügyvéd, adatvédelmi szakértő, Freidler Ügyvédi Iroda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F22A63" w:rsidRDefault="002E0B85" w:rsidP="005D3BD1">
      <w:pPr>
        <w:pStyle w:val="Csakszveg1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13.2</w:t>
      </w:r>
      <w:r w:rsidRPr="00F22A63">
        <w:rPr>
          <w:rFonts w:ascii="Verdana" w:hAnsi="Verdana" w:cs="Verdana"/>
          <w:sz w:val="20"/>
          <w:szCs w:val="20"/>
        </w:rPr>
        <w:t>0 – 13.50</w:t>
      </w:r>
      <w:r w:rsidRPr="00F22A63">
        <w:rPr>
          <w:rFonts w:ascii="Verdana" w:hAnsi="Verdana" w:cs="Verdana"/>
          <w:sz w:val="20"/>
          <w:szCs w:val="20"/>
        </w:rPr>
        <w:tab/>
      </w:r>
      <w:r w:rsidRPr="00F22A63">
        <w:rPr>
          <w:rFonts w:ascii="Verdana" w:hAnsi="Verdana" w:cs="Verdana"/>
          <w:b/>
          <w:i/>
          <w:sz w:val="20"/>
          <w:szCs w:val="20"/>
        </w:rPr>
        <w:t>A Nemzeti Adatvédelmi és Információszabadság Hatóság (NAIH) vizsgálatai és határozatai a követeléskezelői és a direkt-marketing szektorban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A NAIH 2014-ben számos követeléskezeléssel, internetes adatgyűjtéssel foglalkozó céget vizsgált, és a piacot meghökkentő bírságokkal zárta le az eljárásokat. Szinté</w:t>
      </w:r>
      <w:r>
        <w:rPr>
          <w:rFonts w:ascii="Verdana" w:hAnsi="Verdana" w:cs="Verdana"/>
          <w:sz w:val="20"/>
          <w:szCs w:val="20"/>
        </w:rPr>
        <w:t xml:space="preserve">n újdonság volt, hogy a NAIH a „korai” </w:t>
      </w:r>
      <w:bookmarkStart w:id="0" w:name="_GoBack"/>
      <w:bookmarkEnd w:id="0"/>
      <w:r w:rsidRPr="00F22A63">
        <w:rPr>
          <w:rFonts w:ascii="Verdana" w:hAnsi="Verdana" w:cs="Verdana"/>
          <w:sz w:val="20"/>
          <w:szCs w:val="20"/>
        </w:rPr>
        <w:t>vizsgálataihoz képest rendkívüli alapossággal, informatikai szakértő bevonásával tárta fel az ügyeket – melyek java része bíróság előtt van. Mi indokolta a szektorok átfogó vizsgálatát, és ami ennél is fontosabb: mi alapján dönti el a NAIH, hogy mely céget vizsgálja? Végezetül: mely szempontok szerint bírságol a Hatóság?</w:t>
      </w:r>
    </w:p>
    <w:p w:rsidR="002E0B85" w:rsidRPr="00F22A63" w:rsidRDefault="002E0B85" w:rsidP="00793BA3">
      <w:pPr>
        <w:pStyle w:val="Csakszveg1"/>
        <w:ind w:left="2127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i/>
          <w:sz w:val="20"/>
          <w:szCs w:val="20"/>
        </w:rPr>
        <w:t xml:space="preserve">Dr. Szabó Endre Győző </w:t>
      </w:r>
      <w:r w:rsidRPr="00E71F01">
        <w:rPr>
          <w:rFonts w:ascii="Verdana" w:hAnsi="Verdana" w:cs="Verdana"/>
          <w:sz w:val="20"/>
          <w:szCs w:val="20"/>
        </w:rPr>
        <w:t>elnökhelyettes, NAIH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E505DC" w:rsidRDefault="002E0B85" w:rsidP="005D3BD1">
      <w:pPr>
        <w:pStyle w:val="Csakszveg1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13.50 – 14.20</w:t>
      </w:r>
      <w:r w:rsidRPr="00F22A63">
        <w:rPr>
          <w:rFonts w:ascii="Verdana" w:hAnsi="Verdana" w:cs="Verdana"/>
          <w:sz w:val="20"/>
          <w:szCs w:val="20"/>
        </w:rPr>
        <w:tab/>
      </w:r>
      <w:r w:rsidRPr="00F22A63">
        <w:rPr>
          <w:rFonts w:ascii="Verdana" w:hAnsi="Verdana" w:cs="Verdana"/>
          <w:b/>
          <w:i/>
          <w:sz w:val="20"/>
          <w:szCs w:val="20"/>
        </w:rPr>
        <w:t>A NAIH határozatainak tanulságai az adatkezelők számára</w:t>
      </w:r>
      <w:r w:rsidRPr="00E505DC">
        <w:rPr>
          <w:rFonts w:ascii="Verdana" w:hAnsi="Verdana" w:cs="Verdana"/>
          <w:i/>
          <w:sz w:val="20"/>
          <w:szCs w:val="20"/>
        </w:rPr>
        <w:t>: azaz hogyan lehet elkerülni a vizsgálatot, és ha már „benne vagyunk”, mi a teendő?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A NAIH immáron betöltötte a harmadik évét, és vitathatatlan, hogy 2014-ben igen aktí</w:t>
      </w:r>
      <w:r>
        <w:rPr>
          <w:rFonts w:ascii="Verdana" w:hAnsi="Verdana" w:cs="Verdana"/>
          <w:sz w:val="20"/>
          <w:szCs w:val="20"/>
        </w:rPr>
        <w:t xml:space="preserve">v volt. Talán minden </w:t>
      </w:r>
      <w:r w:rsidRPr="00DA159A">
        <w:rPr>
          <w:rFonts w:ascii="Verdana" w:hAnsi="Verdana" w:cs="Verdana"/>
          <w:sz w:val="20"/>
          <w:szCs w:val="20"/>
        </w:rPr>
        <w:t>adatkezelő és adatfeldolgozó</w:t>
      </w:r>
      <w:r>
        <w:rPr>
          <w:rFonts w:ascii="Verdana" w:hAnsi="Verdana" w:cs="Verdana"/>
          <w:sz w:val="20"/>
          <w:szCs w:val="20"/>
        </w:rPr>
        <w:t xml:space="preserve"> </w:t>
      </w:r>
      <w:r w:rsidRPr="00F22A63">
        <w:rPr>
          <w:rFonts w:ascii="Verdana" w:hAnsi="Verdana" w:cs="Verdana"/>
          <w:sz w:val="20"/>
          <w:szCs w:val="20"/>
        </w:rPr>
        <w:t>számára nyilvánvaló, hogy oda kell figyelni a NAIH-ra, nem árt óvatosnak lenni – ennek pedig a jogszerű adatkezelés a legbiztosabb módszere. De mi történik akkor, ha az adatkezelő jogellenesen kezel személyes adatot? Hogyan értékelhető a jogi kockázat? Mi a teendő akkor, ha tudjuk, a NAIH vizsgálata várható?</w:t>
      </w:r>
    </w:p>
    <w:p w:rsidR="002E0B85" w:rsidRPr="00F22A63" w:rsidRDefault="002E0B85" w:rsidP="00793BA3">
      <w:pPr>
        <w:pStyle w:val="Csakszveg1"/>
        <w:ind w:left="2127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i/>
          <w:sz w:val="20"/>
          <w:szCs w:val="20"/>
        </w:rPr>
        <w:t xml:space="preserve">Dr. Zárdai Zoltán </w:t>
      </w:r>
      <w:r w:rsidRPr="00E71F01">
        <w:rPr>
          <w:rFonts w:ascii="Verdana" w:hAnsi="Verdana" w:cs="Verdana"/>
          <w:sz w:val="20"/>
          <w:szCs w:val="20"/>
        </w:rPr>
        <w:t>ügyvéd, Zárdai Ügyvédi Iroda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F22A63" w:rsidRDefault="002E0B85" w:rsidP="005D3BD1">
      <w:pPr>
        <w:pStyle w:val="Csakszveg1"/>
        <w:rPr>
          <w:rFonts w:ascii="Verdana" w:hAnsi="Verdana" w:cs="Verdana"/>
          <w:b/>
          <w:i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14.20 – 14.40</w:t>
      </w:r>
      <w:r w:rsidRPr="00F22A63">
        <w:rPr>
          <w:rFonts w:ascii="Verdana" w:hAnsi="Verdana" w:cs="Verdana"/>
          <w:sz w:val="20"/>
          <w:szCs w:val="20"/>
        </w:rPr>
        <w:tab/>
      </w:r>
      <w:r w:rsidRPr="00F22A63">
        <w:rPr>
          <w:rFonts w:ascii="Verdana" w:hAnsi="Verdana" w:cs="Verdana"/>
          <w:b/>
          <w:i/>
          <w:sz w:val="20"/>
          <w:szCs w:val="20"/>
        </w:rPr>
        <w:t>A NAIH által végzett adatvédelmi audit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Az új törvény egyik legjelentősebb jogintézménye az adatvédelmi audit. Ennek során az adatkezelők kérhetik a Hatóságtól, hogy vizsgálja meg az adatkezelésüket, és arról mondjon véleményt. Mi a NAIH audit előnye, és mi a hátránya? Garancia egy eredményes audit arra, hogy az adatkezelőnek nem kell a későbbiekben tartania a Hatóságtól? Mi történik, ha a Hatóság jogellenes adatkezelési elemet tár fel, és azt az adatkezelő nem orvosolja? Végezetül még egy fontos kérdés: mennyibe kerül?</w:t>
      </w:r>
    </w:p>
    <w:p w:rsidR="002E0B85" w:rsidRPr="00F22A63" w:rsidRDefault="002E0B85" w:rsidP="00793BA3">
      <w:pPr>
        <w:pStyle w:val="Csakszveg1"/>
        <w:ind w:left="2127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i/>
          <w:sz w:val="20"/>
          <w:szCs w:val="20"/>
        </w:rPr>
        <w:t xml:space="preserve">Dr. Révész Balázs </w:t>
      </w:r>
      <w:r w:rsidRPr="00E71F01">
        <w:rPr>
          <w:rFonts w:ascii="Verdana" w:hAnsi="Verdana" w:cs="Verdana"/>
          <w:sz w:val="20"/>
          <w:szCs w:val="20"/>
        </w:rPr>
        <w:t>főosztályvezető, NAIH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14.40 – 15.10</w:t>
      </w:r>
      <w:r w:rsidRPr="00F22A63">
        <w:rPr>
          <w:rFonts w:ascii="Verdana" w:hAnsi="Verdana" w:cs="Verdana"/>
          <w:sz w:val="20"/>
          <w:szCs w:val="20"/>
        </w:rPr>
        <w:tab/>
      </w:r>
      <w:r w:rsidRPr="00F22A63">
        <w:rPr>
          <w:rFonts w:ascii="Verdana" w:hAnsi="Verdana" w:cs="Verdana"/>
          <w:b/>
          <w:i/>
          <w:sz w:val="20"/>
          <w:szCs w:val="20"/>
        </w:rPr>
        <w:t>Jogos üzleti érdekek kontra adatvédelem. A NAIH kritikája.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Az adatvédelmi szabályokat az adatkezelők egy része értetlenül szemléli, és a gazdaságos, eredményes működés gátját látja benne – holott nem kellene ennek így lennie. A piaci szereplőket ugyanakkor a jelenlegi szabályozás gátolja, és egyelőre hazánkban még nem terjedt el az a szemlélet, amely szerint az üzleti érdek is lehet jogalapja az adatkezelésnek. Kérdés, hol vannak ennek a lehetséges alkalmazási területei? Mennyiben gátolja a piaci szereplőket a szigorú adatvédelmi szabályozás, és indokolt-e ez? Szükség van-e a szabályozás reformjára, és ha igen, mely területeken?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A NAIH kritikája: mennyiben tekinthető következetesnek a jogalkalmazás, ide értve a bírságolási gyakorlatot is? Valóban segítik a piac „tisztulását” a NAIH eljárásai, bírságai? Mit tehet a NAIH a „nagy” adatgyűjtőkkel szemben (pl. Google, Facebook)?</w:t>
      </w:r>
    </w:p>
    <w:p w:rsidR="002E0B85" w:rsidRPr="00F22A63" w:rsidRDefault="002E0B85" w:rsidP="005C43FB">
      <w:pPr>
        <w:pStyle w:val="Csakszveg1"/>
        <w:ind w:left="2127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D</w:t>
      </w:r>
      <w:r w:rsidRPr="00F22A63">
        <w:rPr>
          <w:rFonts w:ascii="Verdana" w:hAnsi="Verdana" w:cs="Verdana"/>
          <w:i/>
          <w:sz w:val="20"/>
          <w:szCs w:val="20"/>
        </w:rPr>
        <w:t xml:space="preserve">r. Freidler Gábor </w:t>
      </w:r>
      <w:r w:rsidRPr="00E71F01">
        <w:rPr>
          <w:rFonts w:ascii="Verdana" w:hAnsi="Verdana" w:cs="Verdana"/>
          <w:sz w:val="20"/>
          <w:szCs w:val="20"/>
        </w:rPr>
        <w:t>ügyvéd, adatvédelmi szakértő, Freidler Ügyvédi Iroda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F22A63" w:rsidRDefault="002E0B85" w:rsidP="005D3BD1">
      <w:pPr>
        <w:pStyle w:val="Csakszveg1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i/>
          <w:sz w:val="20"/>
          <w:szCs w:val="20"/>
        </w:rPr>
        <w:t>15.10 – 15.40</w:t>
      </w:r>
      <w:r w:rsidRPr="00F22A63">
        <w:rPr>
          <w:rFonts w:ascii="Verdana" w:hAnsi="Verdana" w:cs="Verdana"/>
          <w:i/>
          <w:sz w:val="20"/>
          <w:szCs w:val="20"/>
        </w:rPr>
        <w:tab/>
        <w:t>Kávészünet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667D48" w:rsidRDefault="002E0B85" w:rsidP="005D3BD1">
      <w:pPr>
        <w:pStyle w:val="Csakszveg1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15.40 – 16.10</w:t>
      </w:r>
      <w:r w:rsidRPr="00F22A63">
        <w:rPr>
          <w:rFonts w:ascii="Verdana" w:hAnsi="Verdana" w:cs="Verdana"/>
          <w:sz w:val="20"/>
          <w:szCs w:val="20"/>
        </w:rPr>
        <w:tab/>
      </w:r>
      <w:r w:rsidRPr="00F22A63">
        <w:rPr>
          <w:rFonts w:ascii="Verdana" w:hAnsi="Verdana" w:cs="Verdana"/>
          <w:b/>
          <w:i/>
          <w:sz w:val="20"/>
          <w:szCs w:val="20"/>
        </w:rPr>
        <w:t>Személyes adatok a követeléskezelési eljárásban</w:t>
      </w:r>
      <w:r w:rsidRPr="00F22A63">
        <w:rPr>
          <w:rFonts w:ascii="Verdana" w:hAnsi="Verdana" w:cs="Verdana"/>
          <w:sz w:val="20"/>
          <w:szCs w:val="20"/>
        </w:rPr>
        <w:t xml:space="preserve">: </w:t>
      </w:r>
      <w:r w:rsidRPr="00667D48">
        <w:rPr>
          <w:rFonts w:ascii="Verdana" w:hAnsi="Verdana" w:cs="Verdana"/>
          <w:i/>
          <w:sz w:val="20"/>
          <w:szCs w:val="20"/>
        </w:rPr>
        <w:t>a hitelezők adataival kapcsolatos problémák, a követeléskezelők adatgyűjtése, az adatok frissítése, új adatok feltárása. Az adatok jelentősége a követeléskezelés során, az adatkezeléssel, adatgyűjtéssel kapcsolatos gyakorlati problémák. Lehetséges adatforrások.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2014-es</w:t>
      </w:r>
      <w:r w:rsidRPr="00F22A63">
        <w:rPr>
          <w:rFonts w:ascii="Verdana" w:hAnsi="Verdana" w:cs="Verdana"/>
          <w:sz w:val="20"/>
          <w:szCs w:val="20"/>
        </w:rPr>
        <w:t xml:space="preserve"> évben a NAIH egyik kiemelt vizsgálati területe a követeléskezelés volt. Több céget vizsgált a NAIH, és ezen vizsgálatok rendszerint igen magas bírsággal zárultak. Sokan arról beszélnek, hogy a NAIH által elvárt szempontok szerint nem is működhetne a követeléskezelési tevékenység. Mi igaz ebből? Milyen eszközei lehetnek a követeléskezelőnek az adatok gyűjtésére?</w:t>
      </w:r>
    </w:p>
    <w:p w:rsidR="002E0B85" w:rsidRPr="00F22A63" w:rsidRDefault="002E0B85" w:rsidP="00793BA3">
      <w:pPr>
        <w:pStyle w:val="Csakszveg1"/>
        <w:ind w:left="2127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i/>
          <w:sz w:val="20"/>
          <w:szCs w:val="20"/>
        </w:rPr>
        <w:t xml:space="preserve">Bódizs Kornél </w:t>
      </w:r>
      <w:r w:rsidRPr="00E71F01">
        <w:rPr>
          <w:rFonts w:ascii="Verdana" w:hAnsi="Verdana" w:cs="Verdana"/>
          <w:sz w:val="20"/>
          <w:szCs w:val="20"/>
        </w:rPr>
        <w:t>vezérigazgató, InHold Zrt.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84361D" w:rsidRDefault="002E0B85" w:rsidP="005D3BD1">
      <w:pPr>
        <w:pStyle w:val="Csakszveg1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16.10 – 16.40</w:t>
      </w:r>
      <w:r w:rsidRPr="00F22A63">
        <w:rPr>
          <w:rFonts w:ascii="Verdana" w:hAnsi="Verdana" w:cs="Verdana"/>
          <w:sz w:val="20"/>
          <w:szCs w:val="20"/>
        </w:rPr>
        <w:tab/>
      </w:r>
      <w:r w:rsidRPr="00F22A63">
        <w:rPr>
          <w:rFonts w:ascii="Verdana" w:hAnsi="Verdana" w:cs="Verdana"/>
          <w:b/>
          <w:i/>
          <w:sz w:val="20"/>
          <w:szCs w:val="20"/>
        </w:rPr>
        <w:t>Adatok az online marketingben</w:t>
      </w:r>
      <w:r w:rsidRPr="0084361D">
        <w:rPr>
          <w:rFonts w:ascii="Verdana" w:hAnsi="Verdana" w:cs="Verdana"/>
          <w:i/>
          <w:sz w:val="20"/>
          <w:szCs w:val="20"/>
        </w:rPr>
        <w:t>: a pontos „célzás” lehetőségei, eszközei, és hatása a reklámok hatékonyságára. Adatok a neten, és felhasználásuk reklámozási célra, a potenciális ügyfelek elérésére</w:t>
      </w:r>
      <w:r>
        <w:rPr>
          <w:rFonts w:ascii="Verdana" w:hAnsi="Verdana" w:cs="Verdana"/>
          <w:i/>
          <w:sz w:val="20"/>
          <w:szCs w:val="20"/>
        </w:rPr>
        <w:t>.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A direkt marketing folyamatosan visszatérő problémája az adat. Honnan szerezhetünk adatot, amelyet legálisan, és hatékonyan felhasználhatunk reklámozási célra? Hogyan tudunk adatbázis építeni, és hogyan érdemes megszólítani saját ügyfeleinket?</w:t>
      </w:r>
    </w:p>
    <w:p w:rsidR="002E0B85" w:rsidRPr="00F22A63" w:rsidRDefault="002E0B85" w:rsidP="00793BA3">
      <w:pPr>
        <w:pStyle w:val="Csakszveg1"/>
        <w:ind w:left="2127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i/>
          <w:sz w:val="20"/>
          <w:szCs w:val="20"/>
        </w:rPr>
        <w:t xml:space="preserve">Berényi Konrád </w:t>
      </w:r>
      <w:r w:rsidRPr="00E71F01">
        <w:rPr>
          <w:rFonts w:ascii="Verdana" w:hAnsi="Verdana" w:cs="Verdana"/>
          <w:sz w:val="20"/>
          <w:szCs w:val="20"/>
        </w:rPr>
        <w:t>közgazdász, internetes marketing tanácsadó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8A2A65" w:rsidRDefault="002E0B85" w:rsidP="005D3BD1">
      <w:pPr>
        <w:pStyle w:val="Csakszveg1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16.40 – 17.10</w:t>
      </w:r>
      <w:r w:rsidRPr="00F22A63">
        <w:rPr>
          <w:rFonts w:ascii="Verdana" w:hAnsi="Verdana" w:cs="Verdana"/>
          <w:sz w:val="20"/>
          <w:szCs w:val="20"/>
        </w:rPr>
        <w:tab/>
      </w:r>
      <w:r w:rsidRPr="00F22A63">
        <w:rPr>
          <w:rFonts w:ascii="Verdana" w:hAnsi="Verdana" w:cs="Verdana"/>
          <w:b/>
          <w:i/>
          <w:sz w:val="20"/>
          <w:szCs w:val="20"/>
        </w:rPr>
        <w:t>Egy bank ügyfelekkel kapcsolatos kockázatai</w:t>
      </w:r>
      <w:r w:rsidRPr="008A2A65">
        <w:rPr>
          <w:rFonts w:ascii="Verdana" w:hAnsi="Verdana" w:cs="Verdana"/>
          <w:i/>
          <w:sz w:val="20"/>
          <w:szCs w:val="20"/>
        </w:rPr>
        <w:t>, és ezek csökkentésének lehetőségei személyes adatok és ellenőrzések útján. Adatgyűjtések és elemzések, döntéshozatali mechanizmusok a kockázatok értékelésében, okmányok másolása, kamerák.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A bank „veszélyes üzem” adatvédelmi szempontból, hiszen nagyon sok, nagyon érzékeny adatot kezelnek – olyan adatokat, amelyekre az érintettek, a bankok ügyfelei is vigyáznak, és elvárják, hogy adataik biztonságban legyenek. Sok esetben a bank kénytelen mélyebben kutakodni az érintettek adataiban, elsősorban azért, h</w:t>
      </w:r>
      <w:r>
        <w:rPr>
          <w:rFonts w:ascii="Verdana" w:hAnsi="Verdana" w:cs="Verdana"/>
          <w:sz w:val="20"/>
          <w:szCs w:val="20"/>
        </w:rPr>
        <w:t>ogy a kockázataikat mérsékeljék – ez pedig az érintettnek is érdeke, hiszen ügyfélként fontos számára az, hogy a bankja a lehető legkisebb kockázat mellett működjön.</w:t>
      </w:r>
    </w:p>
    <w:p w:rsidR="002E0B85" w:rsidRPr="00134B8E" w:rsidRDefault="002E0B85" w:rsidP="00134B8E">
      <w:pPr>
        <w:pStyle w:val="Csakszveg1"/>
        <w:ind w:left="2127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i/>
          <w:sz w:val="20"/>
          <w:szCs w:val="20"/>
        </w:rPr>
        <w:t xml:space="preserve">Dr. Dósa Imre </w:t>
      </w:r>
      <w:r w:rsidRPr="00E71F01">
        <w:rPr>
          <w:rFonts w:ascii="Verdana" w:hAnsi="Verdana" w:cs="Verdana"/>
          <w:sz w:val="20"/>
          <w:szCs w:val="20"/>
        </w:rPr>
        <w:t>belső adatvédelmi felelős, Budapest Bank Zrt.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17.10 – 17.40</w:t>
      </w:r>
      <w:r w:rsidRPr="00F22A63">
        <w:rPr>
          <w:rFonts w:ascii="Verdana" w:hAnsi="Verdana" w:cs="Verdana"/>
          <w:sz w:val="20"/>
          <w:szCs w:val="20"/>
        </w:rPr>
        <w:tab/>
      </w:r>
      <w:r w:rsidRPr="00F22A63">
        <w:rPr>
          <w:rFonts w:ascii="Verdana" w:hAnsi="Verdana" w:cs="Verdana"/>
          <w:b/>
          <w:i/>
          <w:sz w:val="20"/>
          <w:szCs w:val="20"/>
        </w:rPr>
        <w:t>Az érintettek jogai és érvényesítésük, párbeszéd az érintettel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  <w:r w:rsidRPr="00F22A63">
        <w:rPr>
          <w:rFonts w:ascii="Verdana" w:hAnsi="Verdana" w:cs="Verdana"/>
          <w:sz w:val="20"/>
          <w:szCs w:val="20"/>
        </w:rPr>
        <w:t>Mit tehet az érintett, ha úgy érzi, jogellenesen kezelik, gyűjtik személyes adatait? Mit érdemes tennie, ha mielőbb el akarja érni a jogellenes adatkezelés megszüntetését? Ugyanez az adatkezelői oldalról: hogyan érdemes kommunikálni az érintettekkel annak érdekében, hogy a panaszaikat „házon belül” tartsuk, és megelőzzük a NAIH eljárását?</w:t>
      </w:r>
    </w:p>
    <w:p w:rsidR="002E0B85" w:rsidRPr="00F22A63" w:rsidRDefault="002E0B85" w:rsidP="00793BA3">
      <w:pPr>
        <w:pStyle w:val="Csakszveg1"/>
        <w:ind w:left="2127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i/>
          <w:sz w:val="20"/>
          <w:szCs w:val="20"/>
        </w:rPr>
        <w:t xml:space="preserve">Dr. Barán-Kalász László </w:t>
      </w:r>
      <w:r w:rsidRPr="00E71F01">
        <w:rPr>
          <w:rFonts w:ascii="Verdana" w:hAnsi="Verdana" w:cs="Verdana"/>
          <w:sz w:val="20"/>
          <w:szCs w:val="20"/>
        </w:rPr>
        <w:t>ügyvéd, Dr. Barán-Kalász Ügyvédi Iroda</w:t>
      </w:r>
    </w:p>
    <w:p w:rsidR="002E0B85" w:rsidRPr="00F22A63" w:rsidRDefault="002E0B85" w:rsidP="005D3BD1">
      <w:pPr>
        <w:pStyle w:val="Csakszveg1"/>
        <w:rPr>
          <w:rFonts w:ascii="Verdana" w:hAnsi="Verdana" w:cs="Verdana"/>
          <w:sz w:val="20"/>
          <w:szCs w:val="20"/>
        </w:rPr>
      </w:pPr>
    </w:p>
    <w:p w:rsidR="002E0B85" w:rsidRPr="00F22A63" w:rsidRDefault="002E0B85" w:rsidP="005D3BD1">
      <w:pPr>
        <w:pStyle w:val="Csakszveg1"/>
        <w:rPr>
          <w:rFonts w:ascii="Verdana" w:hAnsi="Verdana" w:cs="Verdana"/>
          <w:i/>
          <w:sz w:val="20"/>
          <w:szCs w:val="20"/>
        </w:rPr>
      </w:pPr>
      <w:r w:rsidRPr="00F22A63">
        <w:rPr>
          <w:rFonts w:ascii="Verdana" w:hAnsi="Verdana" w:cs="Verdana"/>
          <w:i/>
          <w:sz w:val="20"/>
          <w:szCs w:val="20"/>
        </w:rPr>
        <w:t>17.40 –</w:t>
      </w:r>
      <w:r w:rsidRPr="00F22A63">
        <w:rPr>
          <w:rFonts w:ascii="Verdana" w:hAnsi="Verdana" w:cs="Verdana"/>
          <w:i/>
          <w:sz w:val="20"/>
          <w:szCs w:val="20"/>
        </w:rPr>
        <w:tab/>
      </w:r>
      <w:r w:rsidRPr="00F22A63">
        <w:rPr>
          <w:rFonts w:ascii="Verdana" w:hAnsi="Verdana" w:cs="Verdana"/>
          <w:i/>
          <w:sz w:val="20"/>
          <w:szCs w:val="20"/>
        </w:rPr>
        <w:tab/>
      </w:r>
      <w:r w:rsidRPr="00F22A63">
        <w:rPr>
          <w:rStyle w:val="Emphasis"/>
          <w:rFonts w:ascii="Verdana" w:hAnsi="Verdana" w:cs="Verdana"/>
          <w:iCs/>
          <w:sz w:val="20"/>
          <w:szCs w:val="20"/>
        </w:rPr>
        <w:t>Programzárás</w:t>
      </w:r>
    </w:p>
    <w:p w:rsidR="002E0B85" w:rsidRPr="00F22A63" w:rsidRDefault="002E0B85">
      <w:pPr>
        <w:pStyle w:val="Csakszveg1"/>
        <w:jc w:val="center"/>
        <w:rPr>
          <w:rFonts w:ascii="Verdana" w:hAnsi="Verdana" w:cs="Verdana"/>
          <w:sz w:val="20"/>
          <w:szCs w:val="20"/>
        </w:rPr>
      </w:pPr>
    </w:p>
    <w:p w:rsidR="002E0B85" w:rsidRPr="00F22A63" w:rsidRDefault="002E0B85" w:rsidP="008570BE">
      <w:pPr>
        <w:rPr>
          <w:rFonts w:ascii="Verdana" w:hAnsi="Verdana" w:cs="Verdana"/>
          <w:color w:val="000000"/>
          <w:sz w:val="20"/>
          <w:szCs w:val="20"/>
        </w:rPr>
      </w:pPr>
    </w:p>
    <w:p w:rsidR="002E0B85" w:rsidRPr="00F22A63" w:rsidRDefault="002E0B85" w:rsidP="008570BE">
      <w:pPr>
        <w:rPr>
          <w:rFonts w:ascii="Verdana" w:hAnsi="Verdana" w:cs="Verdana"/>
          <w:i/>
          <w:sz w:val="20"/>
          <w:szCs w:val="20"/>
        </w:rPr>
      </w:pPr>
    </w:p>
    <w:p w:rsidR="002E0B85" w:rsidRPr="00F22A63" w:rsidRDefault="002E0B85">
      <w:pPr>
        <w:jc w:val="right"/>
        <w:rPr>
          <w:rFonts w:ascii="Verdana" w:hAnsi="Verdana"/>
        </w:rPr>
      </w:pPr>
      <w:r w:rsidRPr="00F22A63">
        <w:rPr>
          <w:rFonts w:ascii="Verdana" w:hAnsi="Verdana" w:cs="Verdana"/>
          <w:i/>
          <w:sz w:val="20"/>
          <w:szCs w:val="20"/>
        </w:rPr>
        <w:t>A programváltoztatás jogát a Menedzserképző Központ fenntartja!</w:t>
      </w:r>
    </w:p>
    <w:sectPr w:rsidR="002E0B85" w:rsidRPr="00F22A63" w:rsidSect="00927F6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907" w:left="1134" w:header="181" w:footer="851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85" w:rsidRDefault="002E0B85" w:rsidP="00E23E81">
      <w:r>
        <w:separator/>
      </w:r>
    </w:p>
  </w:endnote>
  <w:endnote w:type="continuationSeparator" w:id="0">
    <w:p w:rsidR="002E0B85" w:rsidRDefault="002E0B85" w:rsidP="00E2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85" w:rsidRDefault="002E0B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85" w:rsidRDefault="002E0B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85" w:rsidRDefault="002E0B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85" w:rsidRDefault="002E0B85" w:rsidP="00E23E81">
      <w:r>
        <w:separator/>
      </w:r>
    </w:p>
  </w:footnote>
  <w:footnote w:type="continuationSeparator" w:id="0">
    <w:p w:rsidR="002E0B85" w:rsidRDefault="002E0B85" w:rsidP="00E2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85" w:rsidRDefault="002E0B85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.2pt;margin-top:770.25pt;width:481.3pt;height:48.55pt;z-index:251660288;mso-wrap-distance-left:9.05pt;mso-wrap-distance-right:9.05pt" filled="t">
          <v:fill color2="black"/>
          <v:imagedata r:id="rId1" o:title=""/>
          <w10:wrap type="square"/>
        </v:shape>
      </w:pict>
    </w:r>
    <w:r>
      <w:rPr>
        <w:noProof/>
        <w:lang w:eastAsia="hu-HU"/>
      </w:rPr>
      <w:pict>
        <v:shape id="_x0000_s2050" type="#_x0000_t75" style="position:absolute;margin-left:.3pt;margin-top:0;width:481.3pt;height:48.55pt;z-index:251661312;mso-wrap-distance-left:9.05pt;mso-wrap-distance-right:9.05pt" filled="t">
          <v:fill color2="black"/>
          <v:imagedata r:id="rId2" o:title="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85" w:rsidRDefault="002E0B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7ED"/>
    <w:rsid w:val="0002039E"/>
    <w:rsid w:val="000237B1"/>
    <w:rsid w:val="000400D4"/>
    <w:rsid w:val="00054F32"/>
    <w:rsid w:val="00060A47"/>
    <w:rsid w:val="000E3EDC"/>
    <w:rsid w:val="00134907"/>
    <w:rsid w:val="00134B8E"/>
    <w:rsid w:val="001445A3"/>
    <w:rsid w:val="0016202B"/>
    <w:rsid w:val="00185744"/>
    <w:rsid w:val="001923DE"/>
    <w:rsid w:val="001A6B04"/>
    <w:rsid w:val="001D0F73"/>
    <w:rsid w:val="001E6B76"/>
    <w:rsid w:val="001F6867"/>
    <w:rsid w:val="00203287"/>
    <w:rsid w:val="00255864"/>
    <w:rsid w:val="0027560B"/>
    <w:rsid w:val="00282BAF"/>
    <w:rsid w:val="002875C6"/>
    <w:rsid w:val="002A692E"/>
    <w:rsid w:val="002C02AB"/>
    <w:rsid w:val="002E0B85"/>
    <w:rsid w:val="00330FC0"/>
    <w:rsid w:val="003F0C1F"/>
    <w:rsid w:val="003F34C4"/>
    <w:rsid w:val="004047D1"/>
    <w:rsid w:val="00430B05"/>
    <w:rsid w:val="004365A7"/>
    <w:rsid w:val="00437CE6"/>
    <w:rsid w:val="0045513F"/>
    <w:rsid w:val="00466026"/>
    <w:rsid w:val="0048416B"/>
    <w:rsid w:val="00492E35"/>
    <w:rsid w:val="004D502A"/>
    <w:rsid w:val="00517371"/>
    <w:rsid w:val="00530E84"/>
    <w:rsid w:val="00533B36"/>
    <w:rsid w:val="00536281"/>
    <w:rsid w:val="00573DEC"/>
    <w:rsid w:val="005912E7"/>
    <w:rsid w:val="005C0B03"/>
    <w:rsid w:val="005C43FB"/>
    <w:rsid w:val="005D3BD1"/>
    <w:rsid w:val="0061360D"/>
    <w:rsid w:val="00622DD1"/>
    <w:rsid w:val="0064436F"/>
    <w:rsid w:val="00667D48"/>
    <w:rsid w:val="006A41EC"/>
    <w:rsid w:val="00700AB5"/>
    <w:rsid w:val="0071339B"/>
    <w:rsid w:val="0076775A"/>
    <w:rsid w:val="00793BA3"/>
    <w:rsid w:val="0079627F"/>
    <w:rsid w:val="007C3E85"/>
    <w:rsid w:val="0084361D"/>
    <w:rsid w:val="0085589B"/>
    <w:rsid w:val="008570BE"/>
    <w:rsid w:val="008A2A65"/>
    <w:rsid w:val="008F002D"/>
    <w:rsid w:val="00903DDC"/>
    <w:rsid w:val="00910752"/>
    <w:rsid w:val="00913ABE"/>
    <w:rsid w:val="00927F69"/>
    <w:rsid w:val="00952737"/>
    <w:rsid w:val="009571E1"/>
    <w:rsid w:val="00982AAB"/>
    <w:rsid w:val="009B1D69"/>
    <w:rsid w:val="00A139B4"/>
    <w:rsid w:val="00A1708D"/>
    <w:rsid w:val="00A21FB5"/>
    <w:rsid w:val="00A957ED"/>
    <w:rsid w:val="00AA6B0C"/>
    <w:rsid w:val="00AB2E0C"/>
    <w:rsid w:val="00AE3EC8"/>
    <w:rsid w:val="00AE41A0"/>
    <w:rsid w:val="00B00B46"/>
    <w:rsid w:val="00B14FCF"/>
    <w:rsid w:val="00B167C8"/>
    <w:rsid w:val="00B57923"/>
    <w:rsid w:val="00C11D38"/>
    <w:rsid w:val="00C50EBB"/>
    <w:rsid w:val="00CD07FC"/>
    <w:rsid w:val="00CE165D"/>
    <w:rsid w:val="00CE78B4"/>
    <w:rsid w:val="00D157F3"/>
    <w:rsid w:val="00D336E2"/>
    <w:rsid w:val="00DA159A"/>
    <w:rsid w:val="00E120C2"/>
    <w:rsid w:val="00E2090A"/>
    <w:rsid w:val="00E23E81"/>
    <w:rsid w:val="00E505DC"/>
    <w:rsid w:val="00E51666"/>
    <w:rsid w:val="00E71F01"/>
    <w:rsid w:val="00E7290C"/>
    <w:rsid w:val="00ED5E5E"/>
    <w:rsid w:val="00EF27F3"/>
    <w:rsid w:val="00F01DA7"/>
    <w:rsid w:val="00F101C1"/>
    <w:rsid w:val="00F22A63"/>
    <w:rsid w:val="00F312C0"/>
    <w:rsid w:val="00FB21BE"/>
    <w:rsid w:val="00FC2DA9"/>
    <w:rsid w:val="00FD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6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27F6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BA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927F69"/>
  </w:style>
  <w:style w:type="character" w:customStyle="1" w:styleId="WW8Num1z1">
    <w:name w:val="WW8Num1z1"/>
    <w:uiPriority w:val="99"/>
    <w:rsid w:val="00927F69"/>
  </w:style>
  <w:style w:type="character" w:customStyle="1" w:styleId="WW8Num1z2">
    <w:name w:val="WW8Num1z2"/>
    <w:uiPriority w:val="99"/>
    <w:rsid w:val="00927F69"/>
  </w:style>
  <w:style w:type="character" w:customStyle="1" w:styleId="WW8Num1z3">
    <w:name w:val="WW8Num1z3"/>
    <w:uiPriority w:val="99"/>
    <w:rsid w:val="00927F69"/>
  </w:style>
  <w:style w:type="character" w:customStyle="1" w:styleId="WW8Num1z4">
    <w:name w:val="WW8Num1z4"/>
    <w:uiPriority w:val="99"/>
    <w:rsid w:val="00927F69"/>
  </w:style>
  <w:style w:type="character" w:customStyle="1" w:styleId="WW8Num1z5">
    <w:name w:val="WW8Num1z5"/>
    <w:uiPriority w:val="99"/>
    <w:rsid w:val="00927F69"/>
  </w:style>
  <w:style w:type="character" w:customStyle="1" w:styleId="WW8Num1z6">
    <w:name w:val="WW8Num1z6"/>
    <w:uiPriority w:val="99"/>
    <w:rsid w:val="00927F69"/>
  </w:style>
  <w:style w:type="character" w:customStyle="1" w:styleId="WW8Num1z7">
    <w:name w:val="WW8Num1z7"/>
    <w:uiPriority w:val="99"/>
    <w:rsid w:val="00927F69"/>
  </w:style>
  <w:style w:type="character" w:customStyle="1" w:styleId="WW8Num1z8">
    <w:name w:val="WW8Num1z8"/>
    <w:uiPriority w:val="99"/>
    <w:rsid w:val="00927F69"/>
  </w:style>
  <w:style w:type="character" w:customStyle="1" w:styleId="Bekezdsalapbettpusa1">
    <w:name w:val="Bekezdés alapbetűtípusa1"/>
    <w:uiPriority w:val="99"/>
    <w:rsid w:val="00927F69"/>
  </w:style>
  <w:style w:type="character" w:styleId="Emphasis">
    <w:name w:val="Emphasis"/>
    <w:basedOn w:val="DefaultParagraphFont"/>
    <w:uiPriority w:val="99"/>
    <w:qFormat/>
    <w:rsid w:val="00927F69"/>
    <w:rPr>
      <w:rFonts w:cs="Times New Roman"/>
      <w:i/>
    </w:rPr>
  </w:style>
  <w:style w:type="character" w:customStyle="1" w:styleId="st">
    <w:name w:val="st"/>
    <w:basedOn w:val="Bekezdsalapbettpusa1"/>
    <w:uiPriority w:val="99"/>
    <w:rsid w:val="00927F69"/>
    <w:rPr>
      <w:rFonts w:cs="Times New Roman"/>
    </w:rPr>
  </w:style>
  <w:style w:type="character" w:customStyle="1" w:styleId="CsakszvegChar">
    <w:name w:val="Csak szöveg Char"/>
    <w:uiPriority w:val="99"/>
    <w:rsid w:val="00927F69"/>
    <w:rPr>
      <w:rFonts w:ascii="Calibri" w:hAnsi="Calibri"/>
      <w:color w:val="000000"/>
      <w:sz w:val="22"/>
      <w:lang w:val="hu-HU" w:eastAsia="ar-SA" w:bidi="ar-SA"/>
    </w:rPr>
  </w:style>
  <w:style w:type="character" w:styleId="Hyperlink">
    <w:name w:val="Hyperlink"/>
    <w:basedOn w:val="DefaultParagraphFont"/>
    <w:uiPriority w:val="99"/>
    <w:rsid w:val="00927F69"/>
    <w:rPr>
      <w:rFonts w:cs="Times New Roman"/>
      <w:color w:val="0000FF"/>
      <w:u w:val="single"/>
    </w:rPr>
  </w:style>
  <w:style w:type="paragraph" w:customStyle="1" w:styleId="Cmsor">
    <w:name w:val="Címsor"/>
    <w:basedOn w:val="Normal"/>
    <w:next w:val="BodyText"/>
    <w:uiPriority w:val="99"/>
    <w:rsid w:val="00927F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27F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2BA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27F69"/>
    <w:rPr>
      <w:rFonts w:cs="Mangal"/>
    </w:rPr>
  </w:style>
  <w:style w:type="paragraph" w:customStyle="1" w:styleId="Felirat">
    <w:name w:val="Felirat"/>
    <w:basedOn w:val="Normal"/>
    <w:uiPriority w:val="99"/>
    <w:rsid w:val="00927F6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927F6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27F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BA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27F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BAF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92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BAF"/>
    <w:rPr>
      <w:rFonts w:cs="Times New Roman"/>
      <w:sz w:val="2"/>
      <w:lang w:eastAsia="ar-SA" w:bidi="ar-SA"/>
    </w:rPr>
  </w:style>
  <w:style w:type="paragraph" w:customStyle="1" w:styleId="Csakszveg1">
    <w:name w:val="Csak szöveg1"/>
    <w:basedOn w:val="Normal"/>
    <w:uiPriority w:val="99"/>
    <w:rsid w:val="00927F69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3</Pages>
  <Words>1125</Words>
  <Characters>7766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program_Menedzserképző Központ IV. Adatvédelmi Konferencia</dc:title>
  <dc:subject/>
  <dc:creator>Menedzserképző Központ</dc:creator>
  <cp:keywords/>
  <dc:description/>
  <cp:lastModifiedBy>Ács Nóra</cp:lastModifiedBy>
  <cp:revision>43</cp:revision>
  <cp:lastPrinted>2013-02-12T08:50:00Z</cp:lastPrinted>
  <dcterms:created xsi:type="dcterms:W3CDTF">2015-01-29T16:13:00Z</dcterms:created>
  <dcterms:modified xsi:type="dcterms:W3CDTF">2015-03-04T09:07:00Z</dcterms:modified>
</cp:coreProperties>
</file>